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6"/>
        <w:tabs>
          <w:tab w:val="left" w:pos="2841" w:leader="none"/>
          <w:tab w:val="center" w:pos="5244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</w:p>
    <w:p>
      <w:pPr>
        <w:pStyle w:val="636"/>
        <w:tabs>
          <w:tab w:val="left" w:pos="2841" w:leader="none"/>
          <w:tab w:val="center" w:pos="5244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6"/>
        <w:jc w:val="center"/>
        <w:tabs>
          <w:tab w:val="left" w:pos="2841" w:leader="none"/>
          <w:tab w:val="center" w:pos="5244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Расчет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36"/>
        <w:jc w:val="center"/>
      </w:pPr>
      <w:r>
        <w:t xml:space="preserve">поступления доходов </w:t>
      </w:r>
      <w:r>
        <w:t xml:space="preserve">от </w:t>
      </w:r>
      <w:r>
        <w:t xml:space="preserve">операций по управлению остатками средств на едином казначейском счете, зачисляемые в бюджеты бюджетной системы Российской Федерации</w:t>
      </w:r>
      <w:r>
        <w:t xml:space="preserve">, в </w:t>
      </w:r>
      <w:r>
        <w:t xml:space="preserve">областной бюджет </w:t>
      </w:r>
      <w:r/>
    </w:p>
    <w:p>
      <w:pPr>
        <w:pStyle w:val="636"/>
        <w:jc w:val="center"/>
      </w:pPr>
      <w:r>
        <w:t xml:space="preserve">на 20</w:t>
      </w:r>
      <w:r>
        <w:t xml:space="preserve">2</w:t>
      </w:r>
      <w:r>
        <w:t xml:space="preserve">6</w:t>
      </w:r>
      <w:r>
        <w:t xml:space="preserve">–</w:t>
      </w:r>
      <w:r>
        <w:t xml:space="preserve">20</w:t>
      </w:r>
      <w:r>
        <w:t xml:space="preserve">2</w:t>
      </w:r>
      <w:r>
        <w:t xml:space="preserve">8</w:t>
      </w:r>
      <w:r>
        <w:t xml:space="preserve"> годы</w:t>
      </w:r>
      <w:r/>
    </w:p>
    <w:p>
      <w:pPr>
        <w:pStyle w:val="636"/>
        <w:jc w:val="center"/>
      </w:pPr>
      <w:r/>
      <w:r/>
    </w:p>
    <w:p>
      <w:pPr>
        <w:pStyle w:val="636"/>
        <w:jc w:val="center"/>
      </w:pPr>
      <w:r>
        <w:t xml:space="preserve">                                          </w:t>
      </w:r>
      <w:r>
        <w:t xml:space="preserve">                                                                </w:t>
      </w:r>
      <w:r>
        <w:t xml:space="preserve">                             </w:t>
      </w:r>
      <w:r>
        <w:t xml:space="preserve">тыс. рублей</w:t>
      </w:r>
      <w:r>
        <w:t xml:space="preserve">                                                                   </w:t>
      </w:r>
      <w:r/>
    </w:p>
    <w:tbl>
      <w:tblPr>
        <w:tblW w:w="10698" w:type="dxa"/>
        <w:tblInd w:w="-176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112"/>
        <w:gridCol w:w="1155"/>
        <w:gridCol w:w="1329"/>
        <w:gridCol w:w="1217"/>
        <w:gridCol w:w="1280"/>
        <w:gridCol w:w="1271"/>
        <w:gridCol w:w="1167"/>
        <w:gridCol w:w="116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2" w:type="dxa"/>
            <w:vAlign w:val="top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vAlign w:val="top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2021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9" w:type="dxa"/>
            <w:vAlign w:val="top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2022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2023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</w:t>
            </w:r>
            <w:r>
              <w:t xml:space="preserve">4</w:t>
            </w:r>
            <w:r>
              <w:t xml:space="preserve">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Align w:val="top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</w:t>
            </w:r>
            <w:r>
              <w:t xml:space="preserve">6</w:t>
            </w:r>
            <w:r>
              <w:t xml:space="preserve">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7" w:type="dxa"/>
            <w:vAlign w:val="top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</w:t>
            </w:r>
            <w:r>
              <w:t xml:space="preserve">7</w:t>
            </w:r>
            <w:r>
              <w:t xml:space="preserve">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7" w:type="dxa"/>
            <w:vAlign w:val="center"/>
            <w:textDirection w:val="lrTb"/>
            <w:noWrap w:val="false"/>
          </w:tcPr>
          <w:p>
            <w:pPr>
              <w:pStyle w:val="636"/>
              <w:jc w:val="center"/>
            </w:pPr>
            <w:r/>
            <w:r/>
          </w:p>
          <w:p>
            <w:pPr>
              <w:pStyle w:val="636"/>
              <w:jc w:val="center"/>
            </w:pPr>
            <w:r>
              <w:t xml:space="preserve">202</w:t>
            </w:r>
            <w:r>
              <w:t xml:space="preserve">8</w:t>
            </w:r>
            <w:r>
              <w:t xml:space="preserve"> год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112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155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329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217" w:type="dxa"/>
            <w:vAlign w:val="bottom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271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167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1167" w:type="dxa"/>
            <w:vAlign w:val="bottom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</w:tr>
      <w:tr>
        <w:tblPrEx/>
        <w:trPr>
          <w:trHeight w:val="276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12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1. Сумма поступления доходов от операций по управлению остатками средств на едином казначейском счете в финансов</w:t>
            </w:r>
            <w:r>
              <w:t xml:space="preserve">ых</w:t>
            </w:r>
            <w:r>
              <w:t xml:space="preserve"> год</w:t>
            </w:r>
            <w:r>
              <w:t xml:space="preserve">ах,</w:t>
            </w:r>
            <w:r>
              <w:t xml:space="preserve"> предшествующ</w:t>
            </w:r>
            <w:r>
              <w:t xml:space="preserve">их</w:t>
            </w:r>
            <w:r>
              <w:t xml:space="preserve"> отчетному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55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ind w:right="-1"/>
              <w:jc w:val="right"/>
              <w:tabs>
                <w:tab w:val="left" w:pos="1112" w:leader="none"/>
              </w:tabs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right="-1"/>
              <w:jc w:val="right"/>
              <w:tabs>
                <w:tab w:val="left" w:pos="1112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  <w:rPr>
                <w:highlight w:val="none"/>
              </w:rPr>
            </w:pPr>
            <w:r>
              <w:t xml:space="preserve">112</w:t>
            </w:r>
            <w:r>
              <w:t xml:space="preserve"> </w:t>
            </w:r>
            <w:r>
              <w:t xml:space="preserve">057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29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ind w:right="-1"/>
              <w:jc w:val="right"/>
              <w:tabs>
                <w:tab w:val="left" w:pos="1112" w:leader="none"/>
              </w:tabs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right="-1"/>
              <w:jc w:val="right"/>
              <w:tabs>
                <w:tab w:val="left" w:pos="1112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  <w:rPr>
                <w:highlight w:val="none"/>
              </w:rPr>
            </w:pPr>
            <w:r>
              <w:t xml:space="preserve">1 757 942</w:t>
            </w:r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17" w:type="dxa"/>
            <w:vAlign w:val="bottom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>
              <w:t xml:space="preserve">3 064 731</w:t>
            </w:r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1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67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67" w:type="dxa"/>
            <w:vAlign w:val="bottom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12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2</w:t>
            </w:r>
            <w:r>
              <w:t xml:space="preserve">. Сумма поступления доходов от операций по управлению остатками средств на едином казначейском счете в отчетном финансовом году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55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29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17" w:type="dxa"/>
            <w:vAlign w:val="bottom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>
              <w:t xml:space="preserve">4 475 731   </w:t>
            </w:r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1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67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67" w:type="dxa"/>
            <w:vAlign w:val="bottom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12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3. Прогноз суммы доходов от операций по управлению остатками средств на едином казначейском счете, зачисляемые в бюджеты субъектов Российской Федерации, всего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55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29" w:type="dxa"/>
            <w:vAlign w:val="top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17" w:type="dxa"/>
            <w:vAlign w:val="bottom"/>
            <w:textDirection w:val="lrTb"/>
            <w:noWrap w:val="false"/>
          </w:tcPr>
          <w:p>
            <w:pPr>
              <w:pStyle w:val="636"/>
              <w:ind w:right="-1"/>
              <w:jc w:val="right"/>
              <w:tabs>
                <w:tab w:val="left" w:pos="111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1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jc w:val="right"/>
              <w:tabs>
                <w:tab w:val="left" w:pos="1102" w:leader="none"/>
              </w:tabs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tabs>
                <w:tab w:val="left" w:pos="1102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636"/>
              <w:jc w:val="right"/>
              <w:tabs>
                <w:tab w:val="left" w:pos="1102" w:leader="none"/>
              </w:tabs>
              <w:rPr>
                <w:highlight w:val="none"/>
              </w:rPr>
            </w:pPr>
            <w:r>
              <w:t xml:space="preserve">2 352 615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67" w:type="dxa"/>
            <w:vAlign w:val="top"/>
            <w:textDirection w:val="lrTb"/>
            <w:noWrap w:val="false"/>
          </w:tcPr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pStyle w:val="636"/>
              <w:jc w:val="right"/>
              <w:tabs>
                <w:tab w:val="left" w:pos="1102" w:leader="none"/>
              </w:tabs>
            </w:pPr>
            <w:r/>
            <w:r/>
          </w:p>
          <w:p>
            <w:pPr>
              <w:ind w:right="-217"/>
              <w:tabs>
                <w:tab w:val="left" w:pos="1102" w:leader="none"/>
              </w:tabs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right="-217"/>
              <w:tabs>
                <w:tab w:val="left" w:pos="1102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636"/>
              <w:ind w:right="-217"/>
              <w:tabs>
                <w:tab w:val="left" w:pos="1102" w:leader="none"/>
              </w:tabs>
              <w:rPr>
                <w:highlight w:val="none"/>
              </w:rPr>
            </w:pPr>
            <w:r>
              <w:t xml:space="preserve">2</w:t>
            </w:r>
            <w:r>
              <w:t xml:space="preserve"> </w:t>
            </w:r>
            <w:r>
              <w:t xml:space="preserve">352</w:t>
            </w:r>
            <w:r>
              <w:t xml:space="preserve"> 6</w:t>
            </w:r>
            <w:r>
              <w:t xml:space="preserve">15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67" w:type="dxa"/>
            <w:vAlign w:val="bottom"/>
            <w:textDirection w:val="lrTb"/>
            <w:noWrap w:val="false"/>
          </w:tcPr>
          <w:p>
            <w:pPr>
              <w:pStyle w:val="636"/>
              <w:ind w:right="-217"/>
              <w:tabs>
                <w:tab w:val="left" w:pos="1102" w:leader="none"/>
              </w:tabs>
            </w:pPr>
            <w:r>
              <w:t xml:space="preserve">2</w:t>
            </w:r>
            <w:r>
              <w:t xml:space="preserve"> </w:t>
            </w:r>
            <w:r>
              <w:t xml:space="preserve">352</w:t>
            </w:r>
            <w:r>
              <w:t xml:space="preserve"> 6</w:t>
            </w:r>
            <w:r>
              <w:t xml:space="preserve">15   </w:t>
            </w:r>
            <w:r/>
          </w:p>
        </w:tc>
      </w:tr>
    </w:tbl>
    <w:sectPr>
      <w:footnotePr/>
      <w:endnotePr/>
      <w:type w:val="nextPage"/>
      <w:pgSz w:w="11906" w:h="16838" w:orient="portrait"/>
      <w:pgMar w:top="0" w:right="454" w:bottom="709" w:left="96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95" w:hanging="435"/>
        <w:tabs>
          <w:tab w:val="num" w:pos="79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6"/>
    <w:next w:val="63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6"/>
    <w:next w:val="63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6"/>
    <w:next w:val="63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6"/>
    <w:next w:val="63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6"/>
    <w:next w:val="63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6"/>
    <w:next w:val="63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6"/>
    <w:next w:val="63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6"/>
    <w:next w:val="63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6"/>
    <w:next w:val="63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6"/>
    <w:next w:val="63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6"/>
    <w:next w:val="63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6"/>
    <w:next w:val="63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6"/>
    <w:next w:val="63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6"/>
    <w:next w:val="63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6"/>
    <w:next w:val="63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6"/>
    <w:next w:val="63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6"/>
    <w:next w:val="63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6"/>
    <w:next w:val="63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6"/>
    <w:next w:val="63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6"/>
    <w:next w:val="63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6"/>
    <w:next w:val="63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6"/>
    <w:next w:val="63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6"/>
    <w:next w:val="63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6"/>
    <w:next w:val="636"/>
    <w:uiPriority w:val="99"/>
    <w:unhideWhenUsed/>
    <w:pPr>
      <w:spacing w:after="0" w:afterAutospacing="0"/>
    </w:pPr>
  </w:style>
  <w:style w:type="paragraph" w:styleId="636" w:default="1">
    <w:name w:val="Normal"/>
    <w:next w:val="636"/>
    <w:link w:val="636"/>
    <w:qFormat/>
    <w:rPr>
      <w:sz w:val="24"/>
      <w:szCs w:val="24"/>
      <w:lang w:val="ru-RU" w:eastAsia="ru-RU" w:bidi="ar-SA"/>
    </w:rPr>
  </w:style>
  <w:style w:type="character" w:styleId="637">
    <w:name w:val="Основной шрифт абзаца"/>
    <w:next w:val="637"/>
    <w:link w:val="636"/>
    <w:semiHidden/>
  </w:style>
  <w:style w:type="table" w:styleId="638">
    <w:name w:val="Обычная таблица"/>
    <w:next w:val="638"/>
    <w:link w:val="636"/>
    <w:semiHidden/>
    <w:tblPr/>
  </w:style>
  <w:style w:type="numbering" w:styleId="639">
    <w:name w:val="Нет списка"/>
    <w:next w:val="639"/>
    <w:link w:val="636"/>
    <w:semiHidden/>
  </w:style>
  <w:style w:type="table" w:styleId="640">
    <w:name w:val="Сетка таблицы"/>
    <w:basedOn w:val="638"/>
    <w:next w:val="640"/>
    <w:link w:val="636"/>
    <w:tblPr/>
  </w:style>
  <w:style w:type="paragraph" w:styleId="641">
    <w:name w:val="Текст выноски"/>
    <w:basedOn w:val="636"/>
    <w:next w:val="641"/>
    <w:link w:val="636"/>
    <w:semiHidden/>
    <w:rPr>
      <w:rFonts w:ascii="Tahoma" w:hAnsi="Tahoma" w:cs="Tahoma"/>
      <w:sz w:val="16"/>
      <w:szCs w:val="16"/>
    </w:rPr>
  </w:style>
  <w:style w:type="character" w:styleId="1372" w:default="1">
    <w:name w:val="Default Paragraph Font"/>
    <w:uiPriority w:val="1"/>
    <w:semiHidden/>
    <w:unhideWhenUsed/>
  </w:style>
  <w:style w:type="numbering" w:styleId="1373" w:default="1">
    <w:name w:val="No List"/>
    <w:uiPriority w:val="99"/>
    <w:semiHidden/>
    <w:unhideWhenUsed/>
  </w:style>
  <w:style w:type="table" w:styleId="137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comp1004</dc:creator>
  <cp:lastModifiedBy>rti</cp:lastModifiedBy>
  <cp:revision>4</cp:revision>
  <dcterms:created xsi:type="dcterms:W3CDTF">2025-09-30T05:30:00Z</dcterms:created>
  <dcterms:modified xsi:type="dcterms:W3CDTF">2025-10-27T09:23:40Z</dcterms:modified>
  <cp:version>983040</cp:version>
</cp:coreProperties>
</file>